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autofit"/>
        <w:tblCellMar>
          <w:top w:w="0" w:type="dxa"/>
          <w:left w:w="108" w:type="dxa"/>
          <w:bottom w:w="0" w:type="dxa"/>
          <w:right w:w="108" w:type="dxa"/>
        </w:tblCellMar>
      </w:tblPr>
      <w:tblGrid>
        <w:gridCol w:w="2840"/>
        <w:gridCol w:w="2841"/>
        <w:gridCol w:w="2841"/>
      </w:tblGrid>
      <w:tr w14:paraId="2D603BCB">
        <w:tblPrEx>
          <w:tblCellMar>
            <w:top w:w="0" w:type="dxa"/>
            <w:left w:w="108" w:type="dxa"/>
            <w:bottom w:w="0" w:type="dxa"/>
            <w:right w:w="108" w:type="dxa"/>
          </w:tblCellMar>
        </w:tblPrEx>
        <w:tc>
          <w:tcPr>
            <w:tcW w:w="1666" w:type="pct"/>
          </w:tcPr>
          <w:p w14:paraId="0369658F">
            <w:pPr>
              <w:adjustRightInd w:val="0"/>
              <w:snapToGrid w:val="0"/>
              <w:spacing w:line="440" w:lineRule="exact"/>
              <w:rPr>
                <w:rFonts w:eastAsia="宋体"/>
                <w:sz w:val="24"/>
              </w:rPr>
            </w:pPr>
            <w:r>
              <w:rPr>
                <w:rFonts w:eastAsia="宋体"/>
                <w:sz w:val="24"/>
              </w:rPr>
              <w:t>证券代码：000881</w:t>
            </w:r>
          </w:p>
        </w:tc>
        <w:tc>
          <w:tcPr>
            <w:tcW w:w="1667" w:type="pct"/>
          </w:tcPr>
          <w:p w14:paraId="18B98F10">
            <w:pPr>
              <w:adjustRightInd w:val="0"/>
              <w:snapToGrid w:val="0"/>
              <w:spacing w:line="440" w:lineRule="exact"/>
              <w:jc w:val="center"/>
              <w:rPr>
                <w:rFonts w:eastAsia="宋体"/>
                <w:sz w:val="24"/>
              </w:rPr>
            </w:pPr>
            <w:r>
              <w:rPr>
                <w:rFonts w:eastAsia="宋体"/>
                <w:sz w:val="24"/>
              </w:rPr>
              <w:t>证券简称：中广核技</w:t>
            </w:r>
          </w:p>
        </w:tc>
        <w:tc>
          <w:tcPr>
            <w:tcW w:w="1667" w:type="pct"/>
          </w:tcPr>
          <w:p w14:paraId="235CB406">
            <w:pPr>
              <w:adjustRightInd w:val="0"/>
              <w:snapToGrid w:val="0"/>
              <w:spacing w:line="440" w:lineRule="exact"/>
              <w:jc w:val="right"/>
              <w:rPr>
                <w:rFonts w:hint="default" w:eastAsia="宋体"/>
                <w:sz w:val="24"/>
                <w:lang w:val="en-US" w:eastAsia="zh-CN"/>
              </w:rPr>
            </w:pPr>
            <w:r>
              <w:rPr>
                <w:rFonts w:eastAsia="宋体"/>
                <w:sz w:val="24"/>
              </w:rPr>
              <w:t>公告编号：</w:t>
            </w:r>
            <w:r>
              <w:rPr>
                <w:rFonts w:hint="eastAsia" w:eastAsia="宋体"/>
                <w:sz w:val="24"/>
                <w:lang w:val="en-US" w:eastAsia="zh-CN"/>
              </w:rPr>
              <w:t>2025-032</w:t>
            </w:r>
          </w:p>
        </w:tc>
      </w:tr>
    </w:tbl>
    <w:p w14:paraId="21669599">
      <w:pPr>
        <w:snapToGrid w:val="0"/>
        <w:spacing w:before="156" w:beforeLines="50"/>
        <w:jc w:val="center"/>
        <w:outlineLvl w:val="0"/>
        <w:rPr>
          <w:rFonts w:eastAsia="宋体"/>
          <w:b/>
          <w:sz w:val="36"/>
          <w:szCs w:val="36"/>
        </w:rPr>
      </w:pPr>
      <w:r>
        <w:rPr>
          <w:rFonts w:eastAsia="宋体"/>
          <w:b/>
          <w:sz w:val="36"/>
          <w:szCs w:val="36"/>
        </w:rPr>
        <w:t>中广核核技术发展股份有限公司</w:t>
      </w:r>
    </w:p>
    <w:p w14:paraId="6BB49BE3">
      <w:pPr>
        <w:snapToGrid w:val="0"/>
        <w:jc w:val="center"/>
        <w:outlineLvl w:val="0"/>
        <w:rPr>
          <w:rFonts w:eastAsia="宋体"/>
          <w:b/>
          <w:sz w:val="36"/>
          <w:szCs w:val="36"/>
        </w:rPr>
      </w:pPr>
      <w:r>
        <w:rPr>
          <w:rFonts w:hint="eastAsia" w:eastAsia="宋体"/>
          <w:b/>
          <w:sz w:val="36"/>
          <w:szCs w:val="36"/>
        </w:rPr>
        <w:t>202</w:t>
      </w:r>
      <w:r>
        <w:rPr>
          <w:rFonts w:hint="eastAsia" w:eastAsia="宋体"/>
          <w:b/>
          <w:sz w:val="36"/>
          <w:szCs w:val="36"/>
          <w:lang w:val="en-US" w:eastAsia="zh-CN"/>
        </w:rPr>
        <w:t>5</w:t>
      </w:r>
      <w:r>
        <w:rPr>
          <w:rFonts w:hint="eastAsia" w:eastAsia="宋体"/>
          <w:b/>
          <w:sz w:val="36"/>
          <w:szCs w:val="36"/>
        </w:rPr>
        <w:t>年</w:t>
      </w:r>
      <w:r>
        <w:rPr>
          <w:rFonts w:hint="eastAsia" w:eastAsia="宋体"/>
          <w:b/>
          <w:sz w:val="36"/>
          <w:szCs w:val="36"/>
          <w:lang w:val="en-US" w:eastAsia="zh-CN"/>
        </w:rPr>
        <w:t>半年</w:t>
      </w:r>
      <w:r>
        <w:rPr>
          <w:rFonts w:hint="eastAsia" w:eastAsia="宋体"/>
          <w:b/>
          <w:sz w:val="36"/>
          <w:szCs w:val="36"/>
        </w:rPr>
        <w:t>度业绩预告</w:t>
      </w:r>
    </w:p>
    <w:p w14:paraId="6C072AEF">
      <w:pPr>
        <w:snapToGrid w:val="0"/>
        <w:spacing w:before="156" w:beforeLines="50" w:line="360" w:lineRule="auto"/>
        <w:ind w:firstLine="422" w:firstLineChars="200"/>
        <w:rPr>
          <w:rFonts w:eastAsia="宋体"/>
          <w:b/>
          <w:szCs w:val="21"/>
        </w:rPr>
      </w:pPr>
      <w:r>
        <w:rPr>
          <w:rFonts w:eastAsia="宋体"/>
          <w:b/>
          <w:szCs w:val="21"/>
        </w:rPr>
        <w:t>本公司及董事会全体成员保证信息披露的内容真实、准确、完整，没有虚假记载、误导性陈述或者重大遗漏。</w:t>
      </w:r>
    </w:p>
    <w:p w14:paraId="3489C35F">
      <w:pPr>
        <w:adjustRightInd w:val="0"/>
        <w:snapToGrid w:val="0"/>
        <w:spacing w:line="360" w:lineRule="auto"/>
        <w:ind w:firstLine="482" w:firstLineChars="200"/>
        <w:outlineLvl w:val="0"/>
        <w:rPr>
          <w:rFonts w:hint="eastAsia" w:eastAsia="宋体"/>
          <w:b/>
          <w:bCs w:val="0"/>
          <w:sz w:val="24"/>
          <w:szCs w:val="24"/>
        </w:rPr>
      </w:pPr>
      <w:r>
        <w:rPr>
          <w:rFonts w:hint="eastAsia" w:eastAsia="宋体"/>
          <w:b/>
          <w:bCs w:val="0"/>
          <w:sz w:val="24"/>
          <w:szCs w:val="24"/>
        </w:rPr>
        <w:t>一、本期业绩预计情况</w:t>
      </w:r>
    </w:p>
    <w:p w14:paraId="0AE4C1E0">
      <w:pPr>
        <w:adjustRightInd w:val="0"/>
        <w:snapToGrid w:val="0"/>
        <w:spacing w:line="360" w:lineRule="auto"/>
        <w:ind w:firstLine="480" w:firstLineChars="200"/>
        <w:outlineLvl w:val="0"/>
        <w:rPr>
          <w:rFonts w:hint="eastAsia" w:eastAsia="宋体"/>
          <w:b w:val="0"/>
          <w:bCs/>
          <w:sz w:val="24"/>
          <w:szCs w:val="24"/>
        </w:rPr>
      </w:pPr>
      <w:r>
        <w:rPr>
          <w:rFonts w:hint="eastAsia" w:eastAsia="宋体"/>
          <w:b w:val="0"/>
          <w:bCs/>
          <w:sz w:val="24"/>
          <w:szCs w:val="24"/>
        </w:rPr>
        <w:t>（一）业绩预告期间</w:t>
      </w:r>
    </w:p>
    <w:p w14:paraId="077F59C5">
      <w:pPr>
        <w:adjustRightInd w:val="0"/>
        <w:snapToGrid w:val="0"/>
        <w:spacing w:line="360" w:lineRule="auto"/>
        <w:ind w:firstLine="480" w:firstLineChars="200"/>
        <w:outlineLvl w:val="0"/>
        <w:rPr>
          <w:rFonts w:hint="default" w:eastAsia="宋体"/>
          <w:b w:val="0"/>
          <w:bCs/>
          <w:sz w:val="24"/>
          <w:szCs w:val="24"/>
          <w:lang w:val="en-US" w:eastAsia="zh-CN"/>
        </w:rPr>
      </w:pPr>
      <w:r>
        <w:rPr>
          <w:rFonts w:hint="eastAsia" w:eastAsia="宋体"/>
          <w:b w:val="0"/>
          <w:bCs/>
          <w:sz w:val="24"/>
          <w:szCs w:val="24"/>
          <w:lang w:val="en-US" w:eastAsia="zh-CN"/>
        </w:rPr>
        <w:t>2025年1月1日至2025年6月30日</w:t>
      </w:r>
    </w:p>
    <w:p w14:paraId="6CE36692">
      <w:pPr>
        <w:adjustRightInd w:val="0"/>
        <w:snapToGrid w:val="0"/>
        <w:spacing w:line="360" w:lineRule="auto"/>
        <w:ind w:firstLine="480" w:firstLineChars="200"/>
        <w:outlineLvl w:val="0"/>
        <w:rPr>
          <w:rFonts w:hint="eastAsia" w:eastAsia="宋体"/>
          <w:b w:val="0"/>
          <w:bCs/>
          <w:sz w:val="24"/>
          <w:szCs w:val="24"/>
        </w:rPr>
      </w:pPr>
      <w:r>
        <w:rPr>
          <w:rFonts w:hint="eastAsia" w:eastAsia="宋体"/>
          <w:b w:val="0"/>
          <w:bCs/>
          <w:sz w:val="24"/>
          <w:szCs w:val="24"/>
        </w:rPr>
        <w:t>（二）业绩预告情况</w:t>
      </w:r>
    </w:p>
    <w:p w14:paraId="23983133">
      <w:pPr>
        <w:adjustRightInd w:val="0"/>
        <w:snapToGrid w:val="0"/>
        <w:spacing w:line="360" w:lineRule="auto"/>
        <w:ind w:firstLine="480" w:firstLineChars="200"/>
        <w:outlineLvl w:val="0"/>
        <w:rPr>
          <w:rFonts w:hint="eastAsia" w:eastAsia="宋体"/>
          <w:b w:val="0"/>
          <w:bCs/>
          <w:sz w:val="24"/>
          <w:szCs w:val="24"/>
        </w:rPr>
      </w:pPr>
      <w:r>
        <w:rPr>
          <w:rFonts w:hint="eastAsia" w:eastAsia="宋体"/>
          <w:b w:val="0"/>
          <w:bCs/>
          <w:sz w:val="24"/>
          <w:szCs w:val="24"/>
        </w:rPr>
        <w:sym w:font="Wingdings 2" w:char="0052"/>
      </w:r>
      <w:r>
        <w:rPr>
          <w:rFonts w:hint="eastAsia" w:eastAsia="宋体"/>
          <w:b w:val="0"/>
          <w:bCs/>
          <w:sz w:val="24"/>
          <w:szCs w:val="24"/>
        </w:rPr>
        <w:t>预计净利润为负值</w:t>
      </w:r>
    </w:p>
    <w:tbl>
      <w:tblPr>
        <w:tblStyle w:val="4"/>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4262"/>
        <w:gridCol w:w="2409"/>
      </w:tblGrid>
      <w:tr w14:paraId="5A72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44FDB16E">
            <w:pPr>
              <w:pStyle w:val="6"/>
              <w:jc w:val="center"/>
              <w:rPr>
                <w:rFonts w:hint="eastAsia" w:ascii="宋体" w:hAnsi="宋体" w:eastAsia="宋体" w:cs="宋体"/>
                <w:b/>
                <w:color w:val="auto"/>
                <w:sz w:val="24"/>
              </w:rPr>
            </w:pPr>
            <w:r>
              <w:rPr>
                <w:rFonts w:hint="eastAsia" w:ascii="宋体" w:hAnsi="宋体" w:eastAsia="宋体" w:cs="宋体"/>
                <w:b/>
                <w:color w:val="auto"/>
                <w:sz w:val="24"/>
              </w:rPr>
              <w:t>项  目</w:t>
            </w:r>
          </w:p>
        </w:tc>
        <w:tc>
          <w:tcPr>
            <w:tcW w:w="2474"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464D0AF4">
            <w:pPr>
              <w:pStyle w:val="6"/>
              <w:jc w:val="center"/>
              <w:rPr>
                <w:rFonts w:hint="eastAsia" w:ascii="宋体" w:hAnsi="宋体" w:eastAsia="宋体" w:cs="宋体"/>
                <w:b/>
                <w:color w:val="auto"/>
                <w:sz w:val="24"/>
              </w:rPr>
            </w:pPr>
            <w:r>
              <w:rPr>
                <w:rFonts w:hint="eastAsia" w:ascii="宋体" w:hAnsi="宋体" w:eastAsia="宋体" w:cs="宋体"/>
                <w:b/>
                <w:color w:val="auto"/>
                <w:sz w:val="24"/>
              </w:rPr>
              <w:t>本报告期</w:t>
            </w:r>
          </w:p>
        </w:tc>
        <w:tc>
          <w:tcPr>
            <w:tcW w:w="1398"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F810A52">
            <w:pPr>
              <w:pStyle w:val="6"/>
              <w:jc w:val="center"/>
              <w:rPr>
                <w:rFonts w:hint="eastAsia" w:ascii="宋体" w:hAnsi="宋体" w:eastAsia="宋体" w:cs="宋体"/>
                <w:b/>
                <w:color w:val="auto"/>
                <w:sz w:val="24"/>
              </w:rPr>
            </w:pPr>
            <w:r>
              <w:rPr>
                <w:rFonts w:hint="eastAsia" w:ascii="宋体" w:hAnsi="宋体" w:eastAsia="宋体" w:cs="宋体"/>
                <w:b/>
                <w:color w:val="auto"/>
                <w:sz w:val="24"/>
              </w:rPr>
              <w:t>上年同期</w:t>
            </w:r>
          </w:p>
        </w:tc>
      </w:tr>
      <w:tr w14:paraId="3815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6" w:type="pct"/>
            <w:tcBorders>
              <w:top w:val="single" w:color="auto" w:sz="4" w:space="0"/>
              <w:left w:val="single" w:color="auto" w:sz="4" w:space="0"/>
              <w:bottom w:val="single" w:color="auto" w:sz="4" w:space="0"/>
              <w:right w:val="single" w:color="auto" w:sz="4" w:space="0"/>
            </w:tcBorders>
            <w:vAlign w:val="center"/>
          </w:tcPr>
          <w:p w14:paraId="48534D8F">
            <w:pPr>
              <w:pStyle w:val="6"/>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归属于上市公司股东的净利润</w:t>
            </w:r>
          </w:p>
        </w:tc>
        <w:tc>
          <w:tcPr>
            <w:tcW w:w="4262" w:type="dxa"/>
            <w:tcBorders>
              <w:top w:val="single" w:color="auto" w:sz="4" w:space="0"/>
              <w:left w:val="single" w:color="auto" w:sz="4" w:space="0"/>
              <w:bottom w:val="single" w:color="auto" w:sz="4" w:space="0"/>
              <w:right w:val="single" w:color="auto" w:sz="4" w:space="0"/>
            </w:tcBorders>
            <w:vAlign w:val="center"/>
          </w:tcPr>
          <w:p w14:paraId="7FA95D24">
            <w:pPr>
              <w:keepNext w:val="0"/>
              <w:keepLines w:val="0"/>
              <w:widowControl/>
              <w:suppressLineNumbers w:val="0"/>
              <w:jc w:val="left"/>
              <w:textAlignment w:val="center"/>
              <w:rPr>
                <w:rFonts w:hint="default" w:ascii="Times New Roman" w:hAnsi="Times New Roman" w:eastAsia="宋体" w:cs="Times New Roman"/>
                <w:color w:val="auto"/>
                <w:sz w:val="24"/>
                <w:lang w:eastAsia="zh-CN"/>
              </w:rPr>
            </w:pPr>
            <w:r>
              <w:rPr>
                <w:rFonts w:hint="default" w:ascii="Times New Roman" w:hAnsi="Times New Roman" w:eastAsia="宋体" w:cs="Times New Roman"/>
                <w:i w:val="0"/>
                <w:iCs w:val="0"/>
                <w:color w:val="auto"/>
                <w:kern w:val="0"/>
                <w:sz w:val="24"/>
                <w:szCs w:val="24"/>
                <w:u w:val="none"/>
                <w:lang w:val="en-US" w:eastAsia="zh-CN" w:bidi="ar"/>
              </w:rPr>
              <w:t>亏损：</w:t>
            </w:r>
            <w:r>
              <w:rPr>
                <w:rFonts w:hint="eastAsia" w:eastAsia="宋体" w:cs="Times New Roman"/>
                <w:i w:val="0"/>
                <w:iCs w:val="0"/>
                <w:color w:val="auto"/>
                <w:kern w:val="0"/>
                <w:sz w:val="24"/>
                <w:szCs w:val="24"/>
                <w:u w:val="none"/>
                <w:lang w:val="en-US" w:eastAsia="zh-CN" w:bidi="ar"/>
              </w:rPr>
              <w:t>9</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宋体" w:cs="Times New Roman"/>
                <w:i w:val="0"/>
                <w:iCs w:val="0"/>
                <w:color w:val="auto"/>
                <w:kern w:val="0"/>
                <w:sz w:val="24"/>
                <w:szCs w:val="24"/>
                <w:u w:val="none"/>
                <w:lang w:val="en-US" w:eastAsia="zh-CN" w:bidi="ar"/>
              </w:rPr>
              <w:t>0</w:t>
            </w:r>
            <w:r>
              <w:rPr>
                <w:rFonts w:hint="default" w:ascii="Times New Roman" w:hAnsi="Times New Roman" w:eastAsia="宋体" w:cs="Times New Roman"/>
                <w:i w:val="0"/>
                <w:iCs w:val="0"/>
                <w:color w:val="auto"/>
                <w:kern w:val="0"/>
                <w:sz w:val="24"/>
                <w:szCs w:val="24"/>
                <w:u w:val="none"/>
                <w:lang w:val="en-US" w:eastAsia="zh-CN" w:bidi="ar"/>
              </w:rPr>
              <w:t>00.00万元至</w:t>
            </w:r>
            <w:r>
              <w:rPr>
                <w:rFonts w:hint="eastAsia" w:ascii="Times New Roman" w:hAnsi="Times New Roman" w:eastAsia="宋体" w:cs="Times New Roman"/>
                <w:i w:val="0"/>
                <w:iCs w:val="0"/>
                <w:color w:val="auto"/>
                <w:kern w:val="0"/>
                <w:sz w:val="24"/>
                <w:szCs w:val="24"/>
                <w:u w:val="none"/>
                <w:lang w:val="en-US" w:eastAsia="zh-CN" w:bidi="ar"/>
              </w:rPr>
              <w:t>12</w:t>
            </w:r>
            <w:r>
              <w:rPr>
                <w:rFonts w:hint="default" w:ascii="Times New Roman" w:hAnsi="Times New Roman" w:eastAsia="宋体" w:cs="Times New Roman"/>
                <w:i w:val="0"/>
                <w:iCs w:val="0"/>
                <w:color w:val="auto"/>
                <w:kern w:val="0"/>
                <w:sz w:val="24"/>
                <w:szCs w:val="24"/>
                <w:u w:val="none"/>
                <w:lang w:val="en-US" w:eastAsia="zh-CN" w:bidi="ar"/>
              </w:rPr>
              <w:t>,</w:t>
            </w:r>
            <w:r>
              <w:rPr>
                <w:rFonts w:hint="eastAsia" w:eastAsia="宋体" w:cs="Times New Roman"/>
                <w:i w:val="0"/>
                <w:iCs w:val="0"/>
                <w:color w:val="auto"/>
                <w:kern w:val="0"/>
                <w:sz w:val="24"/>
                <w:szCs w:val="24"/>
                <w:u w:val="none"/>
                <w:lang w:val="en-US" w:eastAsia="zh-CN" w:bidi="ar"/>
              </w:rPr>
              <w:t>0</w:t>
            </w:r>
            <w:r>
              <w:rPr>
                <w:rFonts w:hint="default" w:ascii="Times New Roman" w:hAnsi="Times New Roman" w:eastAsia="宋体" w:cs="Times New Roman"/>
                <w:i w:val="0"/>
                <w:iCs w:val="0"/>
                <w:color w:val="auto"/>
                <w:kern w:val="0"/>
                <w:sz w:val="24"/>
                <w:szCs w:val="24"/>
                <w:u w:val="none"/>
                <w:lang w:val="en-US" w:eastAsia="zh-CN" w:bidi="ar"/>
              </w:rPr>
              <w:t>00.0</w:t>
            </w:r>
            <w:r>
              <w:rPr>
                <w:rStyle w:val="8"/>
                <w:rFonts w:hint="default" w:ascii="Times New Roman" w:hAnsi="Times New Roman" w:cs="Times New Roman"/>
                <w:color w:val="auto"/>
                <w:lang w:val="en-US" w:eastAsia="zh-CN" w:bidi="ar"/>
              </w:rPr>
              <w:t>0万元</w:t>
            </w:r>
          </w:p>
        </w:tc>
        <w:tc>
          <w:tcPr>
            <w:tcW w:w="2409" w:type="dxa"/>
            <w:tcBorders>
              <w:top w:val="single" w:color="auto" w:sz="4" w:space="0"/>
              <w:left w:val="single" w:color="auto" w:sz="4" w:space="0"/>
              <w:bottom w:val="single" w:color="auto" w:sz="4" w:space="0"/>
              <w:right w:val="single" w:color="auto" w:sz="4" w:space="0"/>
            </w:tcBorders>
            <w:vAlign w:val="center"/>
          </w:tcPr>
          <w:p w14:paraId="467BADF9">
            <w:pPr>
              <w:keepNext w:val="0"/>
              <w:keepLines w:val="0"/>
              <w:widowControl/>
              <w:suppressLineNumbers w:val="0"/>
              <w:jc w:val="both"/>
              <w:textAlignment w:val="center"/>
              <w:rPr>
                <w:rFonts w:hint="default" w:ascii="Times New Roman" w:hAnsi="Times New Roman" w:eastAsia="宋体" w:cs="Times New Roman"/>
                <w:color w:val="auto"/>
                <w:sz w:val="24"/>
              </w:rPr>
            </w:pPr>
            <w:r>
              <w:rPr>
                <w:rFonts w:hint="default" w:ascii="Times New Roman" w:hAnsi="Times New Roman" w:eastAsia="宋体" w:cs="Times New Roman"/>
                <w:i w:val="0"/>
                <w:iCs w:val="0"/>
                <w:color w:val="auto"/>
                <w:kern w:val="0"/>
                <w:sz w:val="24"/>
                <w:szCs w:val="24"/>
                <w:u w:val="none"/>
                <w:lang w:val="en-US" w:eastAsia="zh-CN" w:bidi="ar"/>
              </w:rPr>
              <w:t>亏损：8,657.78</w:t>
            </w:r>
            <w:r>
              <w:rPr>
                <w:rStyle w:val="10"/>
                <w:rFonts w:hint="default" w:ascii="Times New Roman" w:hAnsi="Times New Roman" w:cs="Times New Roman"/>
                <w:color w:val="auto"/>
                <w:lang w:val="en-US" w:eastAsia="zh-CN" w:bidi="ar"/>
              </w:rPr>
              <w:t>万元</w:t>
            </w:r>
          </w:p>
        </w:tc>
      </w:tr>
      <w:tr w14:paraId="6D6C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6" w:type="pct"/>
            <w:tcBorders>
              <w:top w:val="single" w:color="auto" w:sz="4" w:space="0"/>
              <w:left w:val="single" w:color="auto" w:sz="4" w:space="0"/>
              <w:bottom w:val="single" w:color="auto" w:sz="4" w:space="0"/>
              <w:right w:val="single" w:color="auto" w:sz="4" w:space="0"/>
            </w:tcBorders>
            <w:vAlign w:val="center"/>
          </w:tcPr>
          <w:p w14:paraId="2E004DF8">
            <w:pPr>
              <w:pStyle w:val="6"/>
              <w:rPr>
                <w:rFonts w:hint="default" w:ascii="Times New Roman" w:hAnsi="Times New Roman" w:eastAsia="宋体" w:cs="Times New Roman"/>
                <w:color w:val="auto"/>
                <w:sz w:val="24"/>
              </w:rPr>
            </w:pPr>
            <w:r>
              <w:rPr>
                <w:rFonts w:hint="default" w:ascii="Times New Roman" w:hAnsi="Times New Roman"/>
                <w:color w:val="auto"/>
                <w:sz w:val="24"/>
              </w:rPr>
              <w:t>归属于上市公司股东的扣除非经常性损益的净利润</w:t>
            </w:r>
          </w:p>
        </w:tc>
        <w:tc>
          <w:tcPr>
            <w:tcW w:w="4262" w:type="dxa"/>
            <w:tcBorders>
              <w:top w:val="single" w:color="auto" w:sz="4" w:space="0"/>
              <w:left w:val="single" w:color="auto" w:sz="4" w:space="0"/>
              <w:bottom w:val="single" w:color="auto" w:sz="4" w:space="0"/>
              <w:right w:val="single" w:color="auto" w:sz="4" w:space="0"/>
            </w:tcBorders>
            <w:vAlign w:val="center"/>
          </w:tcPr>
          <w:p w14:paraId="1B1F5E95">
            <w:pPr>
              <w:keepNext w:val="0"/>
              <w:keepLines w:val="0"/>
              <w:widowControl/>
              <w:suppressLineNumbers w:val="0"/>
              <w:jc w:val="left"/>
              <w:textAlignment w:val="center"/>
              <w:rPr>
                <w:rFonts w:hint="default" w:ascii="Times New Roman" w:hAnsi="Times New Roman" w:eastAsia="宋体" w:cs="Times New Roman"/>
                <w:color w:val="auto"/>
                <w:sz w:val="24"/>
              </w:rPr>
            </w:pPr>
            <w:r>
              <w:rPr>
                <w:rFonts w:hint="default" w:ascii="Times New Roman" w:hAnsi="Times New Roman" w:eastAsia="宋体" w:cs="Times New Roman"/>
                <w:i w:val="0"/>
                <w:iCs w:val="0"/>
                <w:color w:val="auto"/>
                <w:kern w:val="0"/>
                <w:sz w:val="24"/>
                <w:szCs w:val="24"/>
                <w:u w:val="none"/>
                <w:lang w:val="en-US" w:eastAsia="zh-CN" w:bidi="ar"/>
              </w:rPr>
              <w:t>亏损：</w:t>
            </w:r>
            <w:r>
              <w:rPr>
                <w:rFonts w:hint="eastAsia" w:eastAsia="宋体" w:cs="Times New Roman"/>
                <w:i w:val="0"/>
                <w:iCs w:val="0"/>
                <w:color w:val="auto"/>
                <w:kern w:val="0"/>
                <w:sz w:val="24"/>
                <w:szCs w:val="24"/>
                <w:u w:val="none"/>
                <w:lang w:val="en-US" w:eastAsia="zh-CN" w:bidi="ar"/>
              </w:rPr>
              <w:t>10</w:t>
            </w:r>
            <w:r>
              <w:rPr>
                <w:rFonts w:hint="default" w:ascii="Times New Roman" w:hAnsi="Times New Roman" w:eastAsia="宋体" w:cs="Times New Roman"/>
                <w:i w:val="0"/>
                <w:iCs w:val="0"/>
                <w:color w:val="auto"/>
                <w:kern w:val="0"/>
                <w:sz w:val="24"/>
                <w:szCs w:val="24"/>
                <w:u w:val="none"/>
                <w:lang w:val="en-US" w:eastAsia="zh-CN" w:bidi="ar"/>
              </w:rPr>
              <w:t>,</w:t>
            </w:r>
            <w:r>
              <w:rPr>
                <w:rFonts w:hint="eastAsia" w:eastAsia="宋体" w:cs="Times New Roman"/>
                <w:i w:val="0"/>
                <w:iCs w:val="0"/>
                <w:color w:val="auto"/>
                <w:kern w:val="0"/>
                <w:sz w:val="24"/>
                <w:szCs w:val="24"/>
                <w:u w:val="none"/>
                <w:lang w:val="en-US" w:eastAsia="zh-CN" w:bidi="ar"/>
              </w:rPr>
              <w:t>0</w:t>
            </w:r>
            <w:r>
              <w:rPr>
                <w:rFonts w:hint="default" w:ascii="Times New Roman" w:hAnsi="Times New Roman" w:eastAsia="宋体" w:cs="Times New Roman"/>
                <w:i w:val="0"/>
                <w:iCs w:val="0"/>
                <w:color w:val="auto"/>
                <w:kern w:val="0"/>
                <w:sz w:val="24"/>
                <w:szCs w:val="24"/>
                <w:u w:val="none"/>
                <w:lang w:val="en-US" w:eastAsia="zh-CN" w:bidi="ar"/>
              </w:rPr>
              <w:t>00.00万元至</w:t>
            </w:r>
            <w:r>
              <w:rPr>
                <w:rFonts w:hint="eastAsia" w:eastAsia="宋体" w:cs="Times New Roman"/>
                <w:i w:val="0"/>
                <w:iCs w:val="0"/>
                <w:color w:val="auto"/>
                <w:kern w:val="0"/>
                <w:sz w:val="24"/>
                <w:szCs w:val="24"/>
                <w:u w:val="none"/>
                <w:lang w:val="en-US" w:eastAsia="zh-CN" w:bidi="ar"/>
              </w:rPr>
              <w:t>13</w:t>
            </w:r>
            <w:r>
              <w:rPr>
                <w:rFonts w:hint="default" w:ascii="Times New Roman" w:hAnsi="Times New Roman" w:eastAsia="宋体" w:cs="Times New Roman"/>
                <w:i w:val="0"/>
                <w:iCs w:val="0"/>
                <w:color w:val="auto"/>
                <w:kern w:val="0"/>
                <w:sz w:val="24"/>
                <w:szCs w:val="24"/>
                <w:u w:val="none"/>
                <w:lang w:val="en-US" w:eastAsia="zh-CN" w:bidi="ar"/>
              </w:rPr>
              <w:t>,</w:t>
            </w:r>
            <w:r>
              <w:rPr>
                <w:rFonts w:hint="eastAsia" w:eastAsia="宋体" w:cs="Times New Roman"/>
                <w:i w:val="0"/>
                <w:iCs w:val="0"/>
                <w:color w:val="auto"/>
                <w:kern w:val="0"/>
                <w:sz w:val="24"/>
                <w:szCs w:val="24"/>
                <w:u w:val="none"/>
                <w:lang w:val="en-US" w:eastAsia="zh-CN" w:bidi="ar"/>
              </w:rPr>
              <w:t>0</w:t>
            </w:r>
            <w:r>
              <w:rPr>
                <w:rFonts w:hint="default" w:ascii="Times New Roman" w:hAnsi="Times New Roman" w:eastAsia="宋体" w:cs="Times New Roman"/>
                <w:i w:val="0"/>
                <w:iCs w:val="0"/>
                <w:color w:val="auto"/>
                <w:kern w:val="0"/>
                <w:sz w:val="24"/>
                <w:szCs w:val="24"/>
                <w:u w:val="none"/>
                <w:lang w:val="en-US" w:eastAsia="zh-CN" w:bidi="ar"/>
              </w:rPr>
              <w:t>00.00万元</w:t>
            </w:r>
          </w:p>
        </w:tc>
        <w:tc>
          <w:tcPr>
            <w:tcW w:w="2409" w:type="dxa"/>
            <w:tcBorders>
              <w:top w:val="single" w:color="auto" w:sz="4" w:space="0"/>
              <w:left w:val="single" w:color="auto" w:sz="4" w:space="0"/>
              <w:bottom w:val="single" w:color="auto" w:sz="4" w:space="0"/>
              <w:right w:val="single" w:color="auto" w:sz="4" w:space="0"/>
            </w:tcBorders>
            <w:vAlign w:val="center"/>
          </w:tcPr>
          <w:p w14:paraId="05B49F1F">
            <w:pPr>
              <w:keepNext w:val="0"/>
              <w:keepLines w:val="0"/>
              <w:widowControl/>
              <w:suppressLineNumbers w:val="0"/>
              <w:jc w:val="both"/>
              <w:textAlignment w:val="center"/>
              <w:rPr>
                <w:rFonts w:hint="default" w:ascii="Times New Roman" w:hAnsi="Times New Roman" w:eastAsia="宋体" w:cs="Times New Roman"/>
                <w:color w:val="auto"/>
                <w:sz w:val="24"/>
              </w:rPr>
            </w:pPr>
            <w:r>
              <w:rPr>
                <w:rFonts w:hint="default" w:ascii="Times New Roman" w:hAnsi="Times New Roman" w:eastAsia="宋体" w:cs="Times New Roman"/>
                <w:i w:val="0"/>
                <w:iCs w:val="0"/>
                <w:color w:val="auto"/>
                <w:kern w:val="0"/>
                <w:sz w:val="24"/>
                <w:szCs w:val="24"/>
                <w:u w:val="none"/>
                <w:lang w:val="en-US" w:eastAsia="zh-CN" w:bidi="ar"/>
              </w:rPr>
              <w:t>亏损：1</w:t>
            </w:r>
            <w:r>
              <w:rPr>
                <w:rFonts w:hint="eastAsia" w:eastAsia="宋体" w:cs="Times New Roman"/>
                <w:i w:val="0"/>
                <w:iCs w:val="0"/>
                <w:color w:val="auto"/>
                <w:kern w:val="0"/>
                <w:sz w:val="24"/>
                <w:szCs w:val="24"/>
                <w:u w:val="none"/>
                <w:lang w:val="en-US" w:eastAsia="zh-CN" w:bidi="ar"/>
              </w:rPr>
              <w:t>3</w:t>
            </w:r>
            <w:r>
              <w:rPr>
                <w:rFonts w:hint="default" w:ascii="Times New Roman" w:hAnsi="Times New Roman" w:eastAsia="宋体" w:cs="Times New Roman"/>
                <w:i w:val="0"/>
                <w:iCs w:val="0"/>
                <w:color w:val="auto"/>
                <w:kern w:val="0"/>
                <w:sz w:val="24"/>
                <w:szCs w:val="24"/>
                <w:u w:val="none"/>
                <w:lang w:val="en-US" w:eastAsia="zh-CN" w:bidi="ar"/>
              </w:rPr>
              <w:t>,</w:t>
            </w:r>
            <w:r>
              <w:rPr>
                <w:rFonts w:hint="eastAsia" w:eastAsia="宋体" w:cs="Times New Roman"/>
                <w:i w:val="0"/>
                <w:iCs w:val="0"/>
                <w:color w:val="auto"/>
                <w:kern w:val="0"/>
                <w:sz w:val="24"/>
                <w:szCs w:val="24"/>
                <w:u w:val="none"/>
                <w:lang w:val="en-US" w:eastAsia="zh-CN" w:bidi="ar"/>
              </w:rPr>
              <w:t>147</w:t>
            </w:r>
            <w:r>
              <w:rPr>
                <w:rFonts w:hint="default" w:ascii="Times New Roman" w:hAnsi="Times New Roman" w:eastAsia="宋体" w:cs="Times New Roman"/>
                <w:i w:val="0"/>
                <w:iCs w:val="0"/>
                <w:color w:val="auto"/>
                <w:kern w:val="0"/>
                <w:sz w:val="24"/>
                <w:szCs w:val="24"/>
                <w:u w:val="none"/>
                <w:lang w:val="en-US" w:eastAsia="zh-CN" w:bidi="ar"/>
              </w:rPr>
              <w:t>.</w:t>
            </w:r>
            <w:r>
              <w:rPr>
                <w:rFonts w:hint="eastAsia" w:eastAsia="宋体" w:cs="Times New Roman"/>
                <w:i w:val="0"/>
                <w:iCs w:val="0"/>
                <w:color w:val="auto"/>
                <w:kern w:val="0"/>
                <w:sz w:val="24"/>
                <w:szCs w:val="24"/>
                <w:u w:val="none"/>
                <w:lang w:val="en-US" w:eastAsia="zh-CN" w:bidi="ar"/>
              </w:rPr>
              <w:t>08</w:t>
            </w:r>
            <w:r>
              <w:rPr>
                <w:rFonts w:hint="default" w:ascii="Times New Roman" w:hAnsi="Times New Roman" w:eastAsia="宋体" w:cs="Times New Roman"/>
                <w:i w:val="0"/>
                <w:iCs w:val="0"/>
                <w:color w:val="auto"/>
                <w:kern w:val="0"/>
                <w:sz w:val="24"/>
                <w:szCs w:val="24"/>
                <w:u w:val="none"/>
                <w:lang w:val="en-US" w:eastAsia="zh-CN" w:bidi="ar"/>
              </w:rPr>
              <w:t>万元</w:t>
            </w:r>
          </w:p>
        </w:tc>
      </w:tr>
      <w:tr w14:paraId="0856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26" w:type="pct"/>
            <w:tcBorders>
              <w:top w:val="single" w:color="auto" w:sz="4" w:space="0"/>
              <w:left w:val="single" w:color="auto" w:sz="4" w:space="0"/>
              <w:bottom w:val="single" w:color="auto" w:sz="4" w:space="0"/>
              <w:right w:val="single" w:color="auto" w:sz="4" w:space="0"/>
            </w:tcBorders>
            <w:vAlign w:val="center"/>
          </w:tcPr>
          <w:p w14:paraId="06BB624C">
            <w:pPr>
              <w:pStyle w:val="6"/>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基本每股收益</w:t>
            </w:r>
          </w:p>
        </w:tc>
        <w:tc>
          <w:tcPr>
            <w:tcW w:w="4262" w:type="dxa"/>
            <w:tcBorders>
              <w:top w:val="single" w:color="auto" w:sz="4" w:space="0"/>
              <w:left w:val="single" w:color="auto" w:sz="4" w:space="0"/>
              <w:bottom w:val="single" w:color="auto" w:sz="4" w:space="0"/>
              <w:right w:val="single" w:color="auto" w:sz="4" w:space="0"/>
            </w:tcBorders>
            <w:vAlign w:val="center"/>
          </w:tcPr>
          <w:p w14:paraId="296E9736">
            <w:pPr>
              <w:keepNext w:val="0"/>
              <w:keepLines w:val="0"/>
              <w:widowControl/>
              <w:suppressLineNumbers w:val="0"/>
              <w:jc w:val="both"/>
              <w:textAlignment w:val="center"/>
              <w:rPr>
                <w:rFonts w:hint="default" w:ascii="Times New Roman" w:hAnsi="Times New Roman" w:eastAsia="宋体" w:cs="Times New Roman"/>
                <w:color w:val="auto"/>
                <w:sz w:val="24"/>
              </w:rPr>
            </w:pPr>
            <w:r>
              <w:rPr>
                <w:rFonts w:hint="default" w:ascii="Times New Roman" w:hAnsi="Times New Roman" w:eastAsia="宋体" w:cs="Times New Roman"/>
                <w:i w:val="0"/>
                <w:iCs w:val="0"/>
                <w:color w:val="auto"/>
                <w:kern w:val="0"/>
                <w:sz w:val="24"/>
                <w:szCs w:val="24"/>
                <w:u w:val="none"/>
                <w:lang w:val="en-US" w:eastAsia="zh-CN" w:bidi="ar"/>
              </w:rPr>
              <w:t>亏损：</w:t>
            </w:r>
            <w:r>
              <w:rPr>
                <w:rStyle w:val="7"/>
                <w:rFonts w:hint="default" w:ascii="Times New Roman" w:hAnsi="Times New Roman" w:eastAsia="宋体" w:cs="Times New Roman"/>
                <w:color w:val="auto"/>
                <w:lang w:val="en-US" w:eastAsia="zh-CN" w:bidi="ar"/>
              </w:rPr>
              <w:t>0.</w:t>
            </w:r>
            <w:r>
              <w:rPr>
                <w:rStyle w:val="7"/>
                <w:rFonts w:hint="eastAsia" w:eastAsia="宋体" w:cs="Times New Roman"/>
                <w:color w:val="auto"/>
                <w:lang w:val="en-US" w:eastAsia="zh-CN" w:bidi="ar"/>
              </w:rPr>
              <w:t>0952</w:t>
            </w:r>
            <w:r>
              <w:rPr>
                <w:rStyle w:val="8"/>
                <w:rFonts w:hint="default" w:ascii="Times New Roman" w:hAnsi="Times New Roman" w:cs="Times New Roman"/>
                <w:color w:val="auto"/>
                <w:lang w:val="en-US" w:eastAsia="zh-CN" w:bidi="ar"/>
              </w:rPr>
              <w:t>元</w:t>
            </w:r>
            <w:r>
              <w:rPr>
                <w:rStyle w:val="7"/>
                <w:rFonts w:hint="default" w:ascii="Times New Roman" w:hAnsi="Times New Roman" w:eastAsia="宋体" w:cs="Times New Roman"/>
                <w:color w:val="auto"/>
                <w:lang w:val="en-US" w:eastAsia="zh-CN" w:bidi="ar"/>
              </w:rPr>
              <w:t>/</w:t>
            </w:r>
            <w:r>
              <w:rPr>
                <w:rStyle w:val="8"/>
                <w:rFonts w:hint="default" w:ascii="Times New Roman" w:hAnsi="Times New Roman" w:cs="Times New Roman"/>
                <w:color w:val="auto"/>
                <w:lang w:val="en-US" w:eastAsia="zh-CN" w:bidi="ar"/>
              </w:rPr>
              <w:t>股至</w:t>
            </w:r>
            <w:r>
              <w:rPr>
                <w:rStyle w:val="7"/>
                <w:rFonts w:hint="default" w:ascii="Times New Roman" w:hAnsi="Times New Roman" w:eastAsia="宋体" w:cs="Times New Roman"/>
                <w:color w:val="auto"/>
                <w:lang w:val="en-US" w:eastAsia="zh-CN" w:bidi="ar"/>
              </w:rPr>
              <w:t>0.</w:t>
            </w:r>
            <w:r>
              <w:rPr>
                <w:rStyle w:val="7"/>
                <w:rFonts w:hint="eastAsia" w:eastAsia="宋体" w:cs="Times New Roman"/>
                <w:color w:val="auto"/>
                <w:lang w:val="en-US" w:eastAsia="zh-CN" w:bidi="ar"/>
              </w:rPr>
              <w:t>1269</w:t>
            </w:r>
            <w:r>
              <w:rPr>
                <w:rStyle w:val="8"/>
                <w:rFonts w:hint="default" w:ascii="Times New Roman" w:hAnsi="Times New Roman" w:cs="Times New Roman"/>
                <w:color w:val="auto"/>
                <w:lang w:val="en-US" w:eastAsia="zh-CN" w:bidi="ar"/>
              </w:rPr>
              <w:t>元</w:t>
            </w:r>
            <w:r>
              <w:rPr>
                <w:rStyle w:val="7"/>
                <w:rFonts w:hint="default" w:ascii="Times New Roman" w:hAnsi="Times New Roman" w:eastAsia="宋体" w:cs="Times New Roman"/>
                <w:color w:val="auto"/>
                <w:lang w:val="en-US" w:eastAsia="zh-CN" w:bidi="ar"/>
              </w:rPr>
              <w:t>/</w:t>
            </w:r>
            <w:r>
              <w:rPr>
                <w:rStyle w:val="8"/>
                <w:rFonts w:hint="default" w:ascii="Times New Roman" w:hAnsi="Times New Roman" w:cs="Times New Roman"/>
                <w:color w:val="auto"/>
                <w:lang w:val="en-US" w:eastAsia="zh-CN" w:bidi="ar"/>
              </w:rPr>
              <w:t>股</w:t>
            </w:r>
          </w:p>
        </w:tc>
        <w:tc>
          <w:tcPr>
            <w:tcW w:w="2409" w:type="dxa"/>
            <w:tcBorders>
              <w:top w:val="single" w:color="auto" w:sz="4" w:space="0"/>
              <w:left w:val="single" w:color="auto" w:sz="4" w:space="0"/>
              <w:bottom w:val="single" w:color="auto" w:sz="4" w:space="0"/>
              <w:right w:val="single" w:color="auto" w:sz="4" w:space="0"/>
            </w:tcBorders>
            <w:vAlign w:val="center"/>
          </w:tcPr>
          <w:p w14:paraId="36A27D09">
            <w:pPr>
              <w:keepNext w:val="0"/>
              <w:keepLines w:val="0"/>
              <w:widowControl/>
              <w:suppressLineNumbers w:val="0"/>
              <w:jc w:val="both"/>
              <w:textAlignment w:val="center"/>
              <w:rPr>
                <w:rFonts w:hint="default" w:ascii="Times New Roman" w:hAnsi="Times New Roman" w:eastAsia="宋体" w:cs="Times New Roman"/>
                <w:color w:val="auto"/>
                <w:sz w:val="24"/>
              </w:rPr>
            </w:pPr>
            <w:r>
              <w:rPr>
                <w:rFonts w:hint="default" w:ascii="Times New Roman" w:hAnsi="Times New Roman" w:eastAsia="宋体" w:cs="Times New Roman"/>
                <w:i w:val="0"/>
                <w:iCs w:val="0"/>
                <w:color w:val="auto"/>
                <w:kern w:val="0"/>
                <w:sz w:val="24"/>
                <w:szCs w:val="24"/>
                <w:u w:val="none"/>
                <w:lang w:val="en-US" w:eastAsia="zh-CN" w:bidi="ar"/>
              </w:rPr>
              <w:t>亏损：</w:t>
            </w:r>
            <w:r>
              <w:rPr>
                <w:rStyle w:val="9"/>
                <w:rFonts w:hint="default" w:ascii="Times New Roman" w:hAnsi="Times New Roman" w:eastAsia="宋体" w:cs="Times New Roman"/>
                <w:color w:val="auto"/>
                <w:lang w:val="en-US" w:eastAsia="zh-CN" w:bidi="ar"/>
              </w:rPr>
              <w:t>0.0916</w:t>
            </w:r>
            <w:r>
              <w:rPr>
                <w:rStyle w:val="10"/>
                <w:rFonts w:hint="default" w:ascii="Times New Roman" w:hAnsi="Times New Roman" w:cs="Times New Roman"/>
                <w:color w:val="auto"/>
                <w:lang w:val="en-US" w:eastAsia="zh-CN" w:bidi="ar"/>
              </w:rPr>
              <w:t>元</w:t>
            </w:r>
            <w:r>
              <w:rPr>
                <w:rStyle w:val="9"/>
                <w:rFonts w:hint="default" w:ascii="Times New Roman" w:hAnsi="Times New Roman" w:eastAsia="宋体" w:cs="Times New Roman"/>
                <w:color w:val="auto"/>
                <w:lang w:val="en-US" w:eastAsia="zh-CN" w:bidi="ar"/>
              </w:rPr>
              <w:t>/</w:t>
            </w:r>
            <w:r>
              <w:rPr>
                <w:rStyle w:val="10"/>
                <w:rFonts w:hint="default" w:ascii="Times New Roman" w:hAnsi="Times New Roman" w:cs="Times New Roman"/>
                <w:color w:val="auto"/>
                <w:lang w:val="en-US" w:eastAsia="zh-CN" w:bidi="ar"/>
              </w:rPr>
              <w:t>股</w:t>
            </w:r>
          </w:p>
        </w:tc>
      </w:tr>
    </w:tbl>
    <w:p w14:paraId="32968354">
      <w:pPr>
        <w:adjustRightInd w:val="0"/>
        <w:snapToGrid w:val="0"/>
        <w:spacing w:line="360" w:lineRule="auto"/>
        <w:ind w:firstLine="482" w:firstLineChars="200"/>
        <w:outlineLvl w:val="0"/>
        <w:rPr>
          <w:rFonts w:hint="eastAsia" w:eastAsia="宋体"/>
          <w:b/>
          <w:bCs w:val="0"/>
          <w:sz w:val="24"/>
          <w:szCs w:val="24"/>
        </w:rPr>
      </w:pPr>
      <w:r>
        <w:rPr>
          <w:rFonts w:hint="eastAsia" w:eastAsia="宋体"/>
          <w:b/>
          <w:bCs w:val="0"/>
          <w:sz w:val="24"/>
          <w:szCs w:val="24"/>
        </w:rPr>
        <w:t>二、与会计师事务所沟通情况</w:t>
      </w:r>
    </w:p>
    <w:p w14:paraId="2F9FE574">
      <w:pPr>
        <w:adjustRightInd w:val="0"/>
        <w:snapToGrid w:val="0"/>
        <w:spacing w:line="360" w:lineRule="auto"/>
        <w:ind w:firstLine="480" w:firstLineChars="200"/>
        <w:outlineLvl w:val="0"/>
        <w:rPr>
          <w:rFonts w:hint="eastAsia" w:eastAsia="宋体"/>
          <w:b w:val="0"/>
          <w:bCs/>
          <w:sz w:val="22"/>
          <w:szCs w:val="22"/>
          <w:lang w:eastAsia="zh-CN"/>
        </w:rPr>
      </w:pPr>
      <w:r>
        <w:rPr>
          <w:rFonts w:hint="eastAsia" w:eastAsia="宋体"/>
          <w:b w:val="0"/>
          <w:bCs/>
          <w:sz w:val="24"/>
          <w:szCs w:val="24"/>
          <w:lang w:val="en-US" w:eastAsia="zh-CN"/>
        </w:rPr>
        <w:t>本次</w:t>
      </w:r>
      <w:r>
        <w:rPr>
          <w:rFonts w:hint="eastAsia" w:eastAsia="宋体"/>
          <w:b w:val="0"/>
          <w:bCs/>
          <w:sz w:val="24"/>
          <w:szCs w:val="24"/>
        </w:rPr>
        <w:t>业绩预告</w:t>
      </w:r>
      <w:r>
        <w:rPr>
          <w:rFonts w:hint="eastAsia" w:eastAsia="宋体"/>
          <w:b w:val="0"/>
          <w:bCs/>
          <w:sz w:val="24"/>
          <w:szCs w:val="24"/>
          <w:lang w:val="en-US" w:eastAsia="zh-CN"/>
        </w:rPr>
        <w:t>未</w:t>
      </w:r>
      <w:r>
        <w:rPr>
          <w:rFonts w:hint="eastAsia" w:eastAsia="宋体"/>
          <w:b w:val="0"/>
          <w:bCs/>
          <w:sz w:val="24"/>
          <w:szCs w:val="24"/>
        </w:rPr>
        <w:t>经过注册会计师审计</w:t>
      </w:r>
      <w:r>
        <w:rPr>
          <w:rFonts w:hint="eastAsia" w:eastAsia="宋体"/>
          <w:b w:val="0"/>
          <w:bCs/>
          <w:sz w:val="24"/>
          <w:szCs w:val="24"/>
          <w:lang w:eastAsia="zh-CN"/>
        </w:rPr>
        <w:t>。</w:t>
      </w:r>
    </w:p>
    <w:p w14:paraId="06DC69DC">
      <w:pPr>
        <w:adjustRightInd w:val="0"/>
        <w:snapToGrid w:val="0"/>
        <w:spacing w:line="360" w:lineRule="auto"/>
        <w:ind w:firstLine="482" w:firstLineChars="200"/>
        <w:outlineLvl w:val="0"/>
        <w:rPr>
          <w:rFonts w:hint="default" w:eastAsia="宋体"/>
          <w:b/>
          <w:bCs w:val="0"/>
          <w:sz w:val="24"/>
          <w:szCs w:val="24"/>
          <w:lang w:val="en-US" w:eastAsia="zh-CN"/>
        </w:rPr>
      </w:pPr>
      <w:r>
        <w:rPr>
          <w:rFonts w:hint="eastAsia" w:eastAsia="宋体"/>
          <w:b/>
          <w:bCs w:val="0"/>
          <w:sz w:val="24"/>
          <w:szCs w:val="24"/>
          <w:lang w:val="en-US" w:eastAsia="zh-CN"/>
        </w:rPr>
        <w:t>三、业绩变动原因说明</w:t>
      </w:r>
    </w:p>
    <w:p w14:paraId="6AE840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0"/>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2025年上半年，公司始终坚持以产品为核心的经营策略，立足拓市场、做产品、提效率、防风险、强队伍等重点维度，扎实推进各项工作。公司部分业务</w:t>
      </w:r>
      <w:r>
        <w:rPr>
          <w:rFonts w:hint="eastAsia" w:ascii="Times New Roman" w:hAnsi="Times New Roman" w:eastAsia="宋体" w:cs="Times New Roman"/>
          <w:bCs/>
          <w:i w:val="0"/>
          <w:iCs w:val="0"/>
          <w:caps w:val="0"/>
          <w:color w:val="auto"/>
          <w:spacing w:val="0"/>
          <w:sz w:val="24"/>
          <w:szCs w:val="24"/>
          <w:shd w:val="clear"/>
        </w:rPr>
        <w:t>呈现出向好的发展态势，</w:t>
      </w:r>
      <w:r>
        <w:rPr>
          <w:rFonts w:hint="eastAsia" w:ascii="Times New Roman" w:hAnsi="Times New Roman" w:eastAsia="宋体" w:cs="Times New Roman"/>
          <w:bCs/>
          <w:i w:val="0"/>
          <w:iCs w:val="0"/>
          <w:caps w:val="0"/>
          <w:color w:val="auto"/>
          <w:spacing w:val="0"/>
          <w:sz w:val="24"/>
          <w:szCs w:val="24"/>
          <w:shd w:val="clear"/>
          <w:lang w:val="en-US" w:eastAsia="zh-CN"/>
        </w:rPr>
        <w:t>新材料业务的</w:t>
      </w:r>
      <w:r>
        <w:rPr>
          <w:rFonts w:hint="eastAsia" w:ascii="Times New Roman" w:hAnsi="Times New Roman" w:eastAsia="宋体" w:cs="Times New Roman"/>
          <w:bCs/>
          <w:i w:val="0"/>
          <w:iCs w:val="0"/>
          <w:caps w:val="0"/>
          <w:color w:val="auto"/>
          <w:spacing w:val="0"/>
          <w:sz w:val="24"/>
          <w:szCs w:val="24"/>
          <w:shd w:val="clear"/>
        </w:rPr>
        <w:t>业绩同比实现提升</w:t>
      </w:r>
      <w:r>
        <w:rPr>
          <w:rFonts w:hint="eastAsia" w:ascii="Times New Roman" w:hAnsi="Times New Roman" w:eastAsia="宋体" w:cs="Times New Roman"/>
          <w:b w:val="0"/>
          <w:bCs/>
          <w:color w:val="auto"/>
          <w:sz w:val="24"/>
          <w:szCs w:val="24"/>
          <w:lang w:val="en-US" w:eastAsia="zh-CN"/>
        </w:rPr>
        <w:t>，但受以下因素影响</w:t>
      </w:r>
      <w:r>
        <w:rPr>
          <w:rFonts w:hint="eastAsia" w:eastAsia="宋体"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报告期内整体业绩未达预期目标：</w:t>
      </w:r>
      <w:bookmarkStart w:id="0" w:name="_GoBack"/>
      <w:bookmarkEnd w:id="0"/>
    </w:p>
    <w:p w14:paraId="604A6602">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480" w:firstLineChars="200"/>
        <w:textAlignment w:val="auto"/>
        <w:outlineLvl w:val="0"/>
        <w:rPr>
          <w:rFonts w:hint="default" w:ascii="Times New Roman" w:hAnsi="Times New Roman" w:eastAsia="宋体" w:cs="Times New Roman"/>
          <w:b w:val="0"/>
          <w:bCs/>
          <w:color w:val="auto"/>
          <w:sz w:val="24"/>
          <w:szCs w:val="24"/>
          <w:lang w:val="en-US" w:eastAsia="zh-CN"/>
        </w:rPr>
      </w:pPr>
      <w:r>
        <w:rPr>
          <w:rFonts w:hint="eastAsia" w:eastAsia="宋体" w:cs="Times New Roman"/>
          <w:b w:val="0"/>
          <w:bCs/>
          <w:color w:val="auto"/>
          <w:sz w:val="24"/>
          <w:szCs w:val="24"/>
          <w:lang w:val="en-US" w:eastAsia="zh-CN"/>
        </w:rPr>
        <w:t>1.</w:t>
      </w:r>
      <w:r>
        <w:rPr>
          <w:rFonts w:hint="eastAsia" w:ascii="Times New Roman" w:hAnsi="Times New Roman" w:eastAsia="宋体" w:cs="Times New Roman"/>
          <w:b w:val="0"/>
          <w:bCs/>
          <w:color w:val="auto"/>
          <w:sz w:val="24"/>
          <w:szCs w:val="24"/>
          <w:lang w:val="en-US" w:eastAsia="zh-CN"/>
        </w:rPr>
        <w:t>医疗健康业务：该业务目前仍处于产业化初期。报告期</w:t>
      </w:r>
      <w:r>
        <w:rPr>
          <w:rFonts w:hint="eastAsia" w:eastAsia="宋体" w:cs="Times New Roman"/>
          <w:b w:val="0"/>
          <w:bCs/>
          <w:color w:val="auto"/>
          <w:sz w:val="24"/>
          <w:szCs w:val="24"/>
          <w:lang w:val="en-US" w:eastAsia="zh-CN"/>
        </w:rPr>
        <w:t>内，</w:t>
      </w:r>
      <w:r>
        <w:rPr>
          <w:rFonts w:hint="eastAsia" w:ascii="Times New Roman" w:hAnsi="Times New Roman" w:eastAsia="宋体" w:cs="Times New Roman"/>
          <w:b w:val="0"/>
          <w:bCs/>
          <w:color w:val="auto"/>
          <w:sz w:val="24"/>
          <w:szCs w:val="24"/>
          <w:lang w:val="en-US" w:eastAsia="zh-CN"/>
        </w:rPr>
        <w:t>公司</w:t>
      </w:r>
      <w:r>
        <w:rPr>
          <w:rFonts w:hint="eastAsia" w:eastAsia="宋体" w:cs="Times New Roman"/>
          <w:b w:val="0"/>
          <w:bCs/>
          <w:color w:val="auto"/>
          <w:sz w:val="24"/>
          <w:szCs w:val="24"/>
          <w:lang w:val="en-US" w:eastAsia="zh-CN"/>
        </w:rPr>
        <w:t>加大</w:t>
      </w:r>
      <w:r>
        <w:rPr>
          <w:rFonts w:hint="eastAsia" w:ascii="Times New Roman" w:hAnsi="Times New Roman" w:eastAsia="宋体" w:cs="Times New Roman"/>
          <w:bCs/>
          <w:color w:val="auto"/>
          <w:sz w:val="24"/>
          <w:szCs w:val="24"/>
          <w:lang w:val="en-US" w:eastAsia="zh-CN"/>
        </w:rPr>
        <w:t>对</w:t>
      </w:r>
      <w:r>
        <w:rPr>
          <w:rFonts w:hint="eastAsia" w:ascii="Times New Roman" w:hAnsi="Times New Roman" w:eastAsia="宋体" w:cs="Times New Roman"/>
          <w:b w:val="0"/>
          <w:bCs/>
          <w:color w:val="auto"/>
          <w:sz w:val="24"/>
          <w:szCs w:val="24"/>
          <w:lang w:val="en-US" w:eastAsia="zh-CN"/>
        </w:rPr>
        <w:t>质子治疗设备市场拓展</w:t>
      </w:r>
      <w:r>
        <w:rPr>
          <w:rFonts w:hint="eastAsia" w:eastAsia="宋体" w:cs="Times New Roman"/>
          <w:b w:val="0"/>
          <w:bCs/>
          <w:color w:val="auto"/>
          <w:sz w:val="24"/>
          <w:szCs w:val="24"/>
          <w:lang w:val="en-US" w:eastAsia="zh-CN"/>
        </w:rPr>
        <w:t>与</w:t>
      </w:r>
      <w:r>
        <w:rPr>
          <w:rFonts w:hint="eastAsia" w:ascii="Times New Roman" w:hAnsi="Times New Roman" w:eastAsia="宋体" w:cs="Times New Roman"/>
          <w:b w:val="0"/>
          <w:bCs/>
          <w:color w:val="auto"/>
          <w:sz w:val="24"/>
          <w:szCs w:val="24"/>
          <w:lang w:val="en-US" w:eastAsia="zh-CN"/>
        </w:rPr>
        <w:t>核心技术研发等方面以及</w:t>
      </w:r>
      <w:r>
        <w:rPr>
          <w:rFonts w:hint="eastAsia" w:eastAsia="宋体" w:cs="Times New Roman"/>
          <w:b w:val="0"/>
          <w:bCs/>
          <w:color w:val="auto"/>
          <w:sz w:val="24"/>
          <w:szCs w:val="24"/>
          <w:lang w:val="en-US" w:eastAsia="zh-CN"/>
        </w:rPr>
        <w:t>对同位素的业务布</w:t>
      </w:r>
      <w:r>
        <w:rPr>
          <w:rFonts w:hint="eastAsia" w:ascii="Times New Roman" w:hAnsi="Times New Roman" w:eastAsia="宋体" w:cs="Times New Roman"/>
          <w:b w:val="0"/>
          <w:bCs/>
          <w:color w:val="auto"/>
          <w:sz w:val="24"/>
          <w:szCs w:val="24"/>
          <w:lang w:val="en-US" w:eastAsia="zh-CN"/>
        </w:rPr>
        <w:t>局，</w:t>
      </w:r>
      <w:r>
        <w:rPr>
          <w:rFonts w:hint="eastAsia" w:ascii="Times New Roman" w:hAnsi="Times New Roman" w:eastAsia="宋体" w:cs="Times New Roman"/>
          <w:bCs/>
          <w:color w:val="auto"/>
          <w:sz w:val="24"/>
          <w:szCs w:val="24"/>
          <w:lang w:val="en-US" w:eastAsia="zh-CN"/>
        </w:rPr>
        <w:t>推进新型同位素制备技术研究并持续</w:t>
      </w:r>
      <w:r>
        <w:rPr>
          <w:rFonts w:hint="eastAsia" w:ascii="Times New Roman" w:hAnsi="Times New Roman" w:eastAsia="宋体" w:cs="Times New Roman"/>
          <w:b w:val="0"/>
          <w:bCs/>
          <w:color w:val="auto"/>
          <w:sz w:val="24"/>
          <w:szCs w:val="24"/>
          <w:lang w:val="en-US" w:eastAsia="zh-CN"/>
        </w:rPr>
        <w:t>投入，导致该业务板块当期亏损同比有所扩大</w:t>
      </w:r>
      <w:r>
        <w:rPr>
          <w:rFonts w:hint="eastAsia" w:eastAsia="宋体" w:cs="Times New Roman"/>
          <w:b w:val="0"/>
          <w:bCs/>
          <w:color w:val="auto"/>
          <w:sz w:val="24"/>
          <w:szCs w:val="24"/>
          <w:lang w:val="en-US" w:eastAsia="zh-CN"/>
        </w:rPr>
        <w:t>；</w:t>
      </w:r>
    </w:p>
    <w:p w14:paraId="41C18165">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480" w:firstLineChars="200"/>
        <w:textAlignment w:val="auto"/>
        <w:outlineLvl w:val="0"/>
        <w:rPr>
          <w:rFonts w:hint="default" w:ascii="Times New Roman" w:hAnsi="Times New Roman" w:eastAsia="宋体" w:cs="Times New Roman"/>
          <w:b w:val="0"/>
          <w:bCs/>
          <w:color w:val="auto"/>
          <w:sz w:val="24"/>
          <w:szCs w:val="24"/>
          <w:lang w:val="en-US" w:eastAsia="zh-CN"/>
        </w:rPr>
      </w:pPr>
      <w:r>
        <w:rPr>
          <w:rFonts w:hint="eastAsia" w:eastAsia="宋体" w:cs="Times New Roman"/>
          <w:b w:val="0"/>
          <w:bCs/>
          <w:color w:val="auto"/>
          <w:sz w:val="24"/>
          <w:szCs w:val="24"/>
          <w:lang w:val="en-US" w:eastAsia="zh-CN"/>
        </w:rPr>
        <w:t>2.</w:t>
      </w:r>
      <w:r>
        <w:rPr>
          <w:rFonts w:hint="eastAsia" w:ascii="Times New Roman" w:hAnsi="Times New Roman" w:eastAsia="宋体" w:cs="Times New Roman"/>
          <w:b w:val="0"/>
          <w:bCs/>
          <w:color w:val="auto"/>
          <w:sz w:val="24"/>
          <w:szCs w:val="24"/>
          <w:lang w:val="en-US" w:eastAsia="zh-CN"/>
        </w:rPr>
        <w:t>硅光电倍增器业务：该业务处于</w:t>
      </w:r>
      <w:r>
        <w:rPr>
          <w:rFonts w:hint="eastAsia" w:eastAsia="宋体" w:cs="Times New Roman"/>
          <w:b w:val="0"/>
          <w:bCs/>
          <w:color w:val="auto"/>
          <w:sz w:val="24"/>
          <w:szCs w:val="24"/>
          <w:lang w:val="en-US" w:eastAsia="zh-CN"/>
        </w:rPr>
        <w:t>孵化期</w:t>
      </w:r>
      <w:r>
        <w:rPr>
          <w:rFonts w:hint="eastAsia" w:ascii="Times New Roman" w:hAnsi="Times New Roman" w:eastAsia="宋体" w:cs="Times New Roman"/>
          <w:b w:val="0"/>
          <w:bCs/>
          <w:color w:val="auto"/>
          <w:sz w:val="24"/>
          <w:szCs w:val="24"/>
          <w:lang w:val="en-US" w:eastAsia="zh-CN"/>
        </w:rPr>
        <w:t>。报告期内</w:t>
      </w:r>
      <w:r>
        <w:rPr>
          <w:rFonts w:hint="eastAsia" w:eastAsia="宋体"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公司致力于高性能硅光电倍增器业务产品的关键环节自主化攻关及产线良率提升工作，持续加大相关研发投入，该业务板块尚未实现盈利</w:t>
      </w:r>
      <w:r>
        <w:rPr>
          <w:rFonts w:hint="eastAsia" w:eastAsia="宋体" w:cs="Times New Roman"/>
          <w:b w:val="0"/>
          <w:bCs/>
          <w:color w:val="auto"/>
          <w:sz w:val="24"/>
          <w:szCs w:val="24"/>
          <w:lang w:val="en-US" w:eastAsia="zh-CN"/>
        </w:rPr>
        <w:t>；</w:t>
      </w:r>
    </w:p>
    <w:p w14:paraId="3474B6A8">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480" w:firstLineChars="200"/>
        <w:textAlignment w:val="auto"/>
        <w:outlineLvl w:val="0"/>
        <w:rPr>
          <w:rFonts w:hint="eastAsia" w:ascii="Times New Roman" w:hAnsi="Times New Roman" w:eastAsia="宋体" w:cs="Times New Roman"/>
          <w:b w:val="0"/>
          <w:bCs/>
          <w:color w:val="auto"/>
          <w:sz w:val="24"/>
          <w:szCs w:val="24"/>
          <w:lang w:val="en-US" w:eastAsia="zh-CN"/>
        </w:rPr>
      </w:pPr>
      <w:r>
        <w:rPr>
          <w:rFonts w:hint="eastAsia" w:eastAsia="宋体" w:cs="Times New Roman"/>
          <w:b w:val="0"/>
          <w:bCs/>
          <w:color w:val="auto"/>
          <w:sz w:val="24"/>
          <w:szCs w:val="24"/>
          <w:lang w:val="en-US" w:eastAsia="zh-CN"/>
        </w:rPr>
        <w:t>3.</w:t>
      </w:r>
      <w:r>
        <w:rPr>
          <w:rFonts w:hint="eastAsia" w:ascii="Times New Roman" w:hAnsi="Times New Roman" w:eastAsia="宋体" w:cs="Times New Roman"/>
          <w:b w:val="0"/>
          <w:bCs/>
          <w:color w:val="auto"/>
          <w:sz w:val="24"/>
          <w:szCs w:val="24"/>
          <w:lang w:val="en-US" w:eastAsia="zh-CN"/>
        </w:rPr>
        <w:t>加速器及辐照业务</w:t>
      </w:r>
      <w:r>
        <w:rPr>
          <w:rFonts w:hint="eastAsia" w:eastAsia="宋体" w:cs="Times New Roman"/>
          <w:b w:val="0"/>
          <w:bCs/>
          <w:color w:val="auto"/>
          <w:sz w:val="24"/>
          <w:szCs w:val="24"/>
          <w:lang w:val="en-US" w:eastAsia="zh-CN"/>
        </w:rPr>
        <w:t>：报告期内，</w:t>
      </w:r>
      <w:r>
        <w:rPr>
          <w:rFonts w:hint="eastAsia" w:ascii="Times New Roman" w:hAnsi="Times New Roman" w:eastAsia="宋体" w:cs="Times New Roman"/>
          <w:b w:val="0"/>
          <w:bCs/>
          <w:color w:val="auto"/>
          <w:sz w:val="24"/>
          <w:szCs w:val="24"/>
          <w:lang w:val="en-US" w:eastAsia="zh-CN"/>
        </w:rPr>
        <w:t>受部分客户交付计划调整</w:t>
      </w:r>
      <w:r>
        <w:rPr>
          <w:rFonts w:hint="eastAsia" w:eastAsia="宋体" w:cs="Times New Roman"/>
          <w:b w:val="0"/>
          <w:bCs/>
          <w:color w:val="auto"/>
          <w:sz w:val="24"/>
          <w:szCs w:val="24"/>
          <w:lang w:val="en-US" w:eastAsia="zh-CN"/>
        </w:rPr>
        <w:t>的阶段性</w:t>
      </w:r>
      <w:r>
        <w:rPr>
          <w:rFonts w:hint="eastAsia" w:ascii="Times New Roman" w:hAnsi="Times New Roman" w:eastAsia="宋体" w:cs="Times New Roman"/>
          <w:b w:val="0"/>
          <w:bCs/>
          <w:color w:val="auto"/>
          <w:sz w:val="24"/>
          <w:szCs w:val="24"/>
          <w:lang w:val="en-US" w:eastAsia="zh-CN"/>
        </w:rPr>
        <w:t>影响，加速器交付数量较上年同期减少，</w:t>
      </w:r>
      <w:r>
        <w:rPr>
          <w:rFonts w:hint="eastAsia" w:eastAsia="宋体"/>
          <w:bCs/>
          <w:color w:val="auto"/>
          <w:sz w:val="24"/>
          <w:szCs w:val="24"/>
        </w:rPr>
        <w:t>导致该业务报告期内出现暂时性亏损</w:t>
      </w:r>
      <w:r>
        <w:rPr>
          <w:rFonts w:hint="eastAsia" w:eastAsia="宋体"/>
          <w:bCs/>
          <w:color w:val="auto"/>
          <w:sz w:val="24"/>
          <w:szCs w:val="24"/>
          <w:lang w:val="en-US" w:eastAsia="zh-CN"/>
        </w:rPr>
        <w:t>；</w:t>
      </w:r>
    </w:p>
    <w:p w14:paraId="1E3751A3">
      <w:pPr>
        <w:numPr>
          <w:ilvl w:val="0"/>
          <w:numId w:val="0"/>
        </w:numPr>
        <w:adjustRightInd w:val="0"/>
        <w:snapToGrid w:val="0"/>
        <w:spacing w:line="360" w:lineRule="auto"/>
        <w:ind w:firstLine="480" w:firstLineChars="200"/>
        <w:outlineLvl w:val="0"/>
        <w:rPr>
          <w:rFonts w:hint="default" w:eastAsia="宋体"/>
          <w:b w:val="0"/>
          <w:bCs/>
          <w:color w:val="auto"/>
          <w:sz w:val="24"/>
          <w:szCs w:val="24"/>
          <w:lang w:val="en-US" w:eastAsia="zh-CN"/>
        </w:rPr>
      </w:pPr>
      <w:r>
        <w:rPr>
          <w:rFonts w:hint="eastAsia" w:eastAsia="宋体" w:cs="Times New Roman"/>
          <w:b w:val="0"/>
          <w:bCs/>
          <w:color w:val="auto"/>
          <w:sz w:val="24"/>
          <w:szCs w:val="24"/>
          <w:lang w:val="en-US" w:eastAsia="zh-CN"/>
        </w:rPr>
        <w:t>4.</w:t>
      </w:r>
      <w:r>
        <w:rPr>
          <w:rFonts w:hint="eastAsia" w:ascii="Times New Roman" w:hAnsi="Times New Roman" w:eastAsia="宋体" w:cs="Times New Roman"/>
          <w:b w:val="0"/>
          <w:bCs/>
          <w:color w:val="auto"/>
          <w:sz w:val="24"/>
          <w:szCs w:val="24"/>
          <w:lang w:val="en-US" w:eastAsia="zh-CN"/>
        </w:rPr>
        <w:t>非经常性损益变动：报告期内</w:t>
      </w:r>
      <w:r>
        <w:rPr>
          <w:rFonts w:hint="eastAsia" w:eastAsia="宋体"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非经常性损益较上年同期大幅下降，主要系计入当期损益的政府补助金额同比减少所致。</w:t>
      </w:r>
    </w:p>
    <w:p w14:paraId="02523BB1">
      <w:pPr>
        <w:adjustRightInd w:val="0"/>
        <w:snapToGrid w:val="0"/>
        <w:spacing w:line="360" w:lineRule="auto"/>
        <w:ind w:firstLine="482" w:firstLineChars="200"/>
        <w:outlineLvl w:val="0"/>
        <w:rPr>
          <w:rFonts w:hint="eastAsia" w:eastAsia="宋体"/>
          <w:b/>
          <w:bCs w:val="0"/>
          <w:color w:val="auto"/>
          <w:sz w:val="24"/>
          <w:szCs w:val="24"/>
          <w:lang w:val="en-US" w:eastAsia="zh-CN"/>
        </w:rPr>
      </w:pPr>
      <w:r>
        <w:rPr>
          <w:rFonts w:hint="eastAsia" w:eastAsia="宋体"/>
          <w:b/>
          <w:bCs w:val="0"/>
          <w:color w:val="auto"/>
          <w:sz w:val="24"/>
          <w:szCs w:val="24"/>
          <w:lang w:val="en-US" w:eastAsia="zh-CN"/>
        </w:rPr>
        <w:t>四、风险提示</w:t>
      </w:r>
    </w:p>
    <w:p w14:paraId="2F773151">
      <w:pPr>
        <w:adjustRightInd w:val="0"/>
        <w:snapToGrid w:val="0"/>
        <w:spacing w:line="360" w:lineRule="auto"/>
        <w:ind w:firstLine="480" w:firstLineChars="200"/>
        <w:outlineLvl w:val="0"/>
        <w:rPr>
          <w:rFonts w:hint="eastAsia" w:eastAsia="宋体"/>
          <w:b w:val="0"/>
          <w:bCs/>
          <w:color w:val="auto"/>
          <w:sz w:val="24"/>
          <w:szCs w:val="24"/>
        </w:rPr>
      </w:pPr>
      <w:r>
        <w:rPr>
          <w:rFonts w:hint="eastAsia" w:eastAsia="宋体"/>
          <w:b w:val="0"/>
          <w:bCs/>
          <w:color w:val="auto"/>
          <w:sz w:val="24"/>
          <w:szCs w:val="24"/>
        </w:rPr>
        <w:t>本次业绩预告是初步</w:t>
      </w:r>
      <w:r>
        <w:rPr>
          <w:rFonts w:hint="eastAsia" w:eastAsia="宋体"/>
          <w:b w:val="0"/>
          <w:bCs/>
          <w:color w:val="auto"/>
          <w:sz w:val="24"/>
          <w:szCs w:val="24"/>
          <w:lang w:val="en-US" w:eastAsia="zh-CN"/>
        </w:rPr>
        <w:t>测算的</w:t>
      </w:r>
      <w:r>
        <w:rPr>
          <w:rFonts w:hint="eastAsia" w:eastAsia="宋体"/>
          <w:b w:val="0"/>
          <w:bCs/>
          <w:color w:val="auto"/>
          <w:sz w:val="24"/>
          <w:szCs w:val="24"/>
        </w:rPr>
        <w:t>结果，具体财务数据以公司披露的202</w:t>
      </w:r>
      <w:r>
        <w:rPr>
          <w:rFonts w:hint="eastAsia" w:eastAsia="宋体"/>
          <w:b w:val="0"/>
          <w:bCs/>
          <w:color w:val="auto"/>
          <w:sz w:val="24"/>
          <w:szCs w:val="24"/>
          <w:lang w:val="en-US" w:eastAsia="zh-CN"/>
        </w:rPr>
        <w:t>5</w:t>
      </w:r>
      <w:r>
        <w:rPr>
          <w:rFonts w:hint="eastAsia" w:eastAsia="宋体"/>
          <w:b w:val="0"/>
          <w:bCs/>
          <w:color w:val="auto"/>
          <w:sz w:val="24"/>
          <w:szCs w:val="24"/>
        </w:rPr>
        <w:t>年</w:t>
      </w:r>
      <w:r>
        <w:rPr>
          <w:rFonts w:hint="eastAsia" w:eastAsia="宋体"/>
          <w:b w:val="0"/>
          <w:bCs/>
          <w:color w:val="auto"/>
          <w:sz w:val="24"/>
          <w:szCs w:val="24"/>
          <w:lang w:val="en-US" w:eastAsia="zh-CN"/>
        </w:rPr>
        <w:t>半</w:t>
      </w:r>
      <w:r>
        <w:rPr>
          <w:rFonts w:hint="eastAsia" w:eastAsia="宋体"/>
          <w:b w:val="0"/>
          <w:bCs/>
          <w:color w:val="auto"/>
          <w:sz w:val="24"/>
          <w:szCs w:val="24"/>
        </w:rPr>
        <w:t>年度报告为准，敬请广大投资者注意投资风险。</w:t>
      </w:r>
    </w:p>
    <w:p w14:paraId="27F1C40E">
      <w:pPr>
        <w:snapToGrid w:val="0"/>
        <w:spacing w:line="360" w:lineRule="auto"/>
        <w:ind w:firstLine="480" w:firstLineChars="200"/>
        <w:rPr>
          <w:rFonts w:eastAsia="宋体"/>
          <w:color w:val="auto"/>
          <w:sz w:val="24"/>
          <w:szCs w:val="24"/>
        </w:rPr>
      </w:pPr>
      <w:r>
        <w:rPr>
          <w:rFonts w:eastAsia="宋体"/>
          <w:color w:val="auto"/>
          <w:sz w:val="24"/>
          <w:szCs w:val="24"/>
        </w:rPr>
        <w:t>特此公告。</w:t>
      </w:r>
    </w:p>
    <w:p w14:paraId="634F3A1D">
      <w:pPr>
        <w:pStyle w:val="2"/>
        <w:rPr>
          <w:rFonts w:eastAsia="宋体"/>
          <w:color w:val="auto"/>
          <w:sz w:val="24"/>
          <w:szCs w:val="24"/>
        </w:rPr>
      </w:pPr>
    </w:p>
    <w:p w14:paraId="4F1A669D">
      <w:pPr>
        <w:rPr>
          <w:rFonts w:eastAsia="宋体"/>
          <w:color w:val="auto"/>
          <w:sz w:val="24"/>
          <w:szCs w:val="24"/>
        </w:rPr>
      </w:pPr>
    </w:p>
    <w:p w14:paraId="2860CF24">
      <w:pPr>
        <w:pStyle w:val="2"/>
      </w:pPr>
    </w:p>
    <w:p w14:paraId="31DDF62C">
      <w:pPr>
        <w:snapToGrid w:val="0"/>
        <w:spacing w:line="360" w:lineRule="auto"/>
        <w:ind w:firstLine="482" w:firstLineChars="200"/>
        <w:jc w:val="right"/>
        <w:rPr>
          <w:rFonts w:eastAsia="宋体"/>
          <w:b/>
          <w:sz w:val="24"/>
          <w:szCs w:val="24"/>
        </w:rPr>
      </w:pPr>
      <w:r>
        <w:rPr>
          <w:rFonts w:eastAsia="宋体"/>
          <w:b/>
          <w:sz w:val="24"/>
          <w:szCs w:val="24"/>
        </w:rPr>
        <w:t>中广核核技术发展股份有限公司</w:t>
      </w:r>
    </w:p>
    <w:p w14:paraId="42104212">
      <w:pPr>
        <w:snapToGrid w:val="0"/>
        <w:spacing w:line="360" w:lineRule="auto"/>
        <w:ind w:firstLine="482" w:firstLineChars="200"/>
        <w:jc w:val="right"/>
        <w:rPr>
          <w:rFonts w:eastAsia="宋体"/>
          <w:b/>
          <w:sz w:val="24"/>
          <w:szCs w:val="24"/>
        </w:rPr>
      </w:pPr>
      <w:r>
        <w:rPr>
          <w:rFonts w:eastAsia="宋体"/>
          <w:b/>
          <w:sz w:val="24"/>
          <w:szCs w:val="24"/>
        </w:rPr>
        <w:t>董事会</w:t>
      </w:r>
    </w:p>
    <w:p w14:paraId="0613382E">
      <w:pPr>
        <w:snapToGrid w:val="0"/>
        <w:spacing w:line="360" w:lineRule="auto"/>
        <w:ind w:firstLine="482" w:firstLineChars="200"/>
        <w:jc w:val="right"/>
        <w:rPr>
          <w:rFonts w:eastAsia="宋体"/>
          <w:sz w:val="24"/>
          <w:szCs w:val="24"/>
        </w:rPr>
      </w:pPr>
      <w:r>
        <w:rPr>
          <w:rFonts w:eastAsia="宋体"/>
          <w:b/>
          <w:sz w:val="24"/>
          <w:szCs w:val="24"/>
        </w:rPr>
        <w:t>202</w:t>
      </w:r>
      <w:r>
        <w:rPr>
          <w:rFonts w:hint="eastAsia" w:eastAsia="宋体"/>
          <w:b/>
          <w:sz w:val="24"/>
          <w:szCs w:val="24"/>
        </w:rPr>
        <w:t>5</w:t>
      </w:r>
      <w:r>
        <w:rPr>
          <w:rFonts w:eastAsia="宋体"/>
          <w:b/>
          <w:sz w:val="24"/>
          <w:szCs w:val="24"/>
        </w:rPr>
        <w:t>年</w:t>
      </w:r>
      <w:r>
        <w:rPr>
          <w:rFonts w:hint="eastAsia" w:eastAsia="宋体"/>
          <w:b/>
          <w:sz w:val="24"/>
          <w:szCs w:val="24"/>
        </w:rPr>
        <w:t>7</w:t>
      </w:r>
      <w:r>
        <w:rPr>
          <w:rFonts w:eastAsia="宋体"/>
          <w:b/>
          <w:sz w:val="24"/>
          <w:szCs w:val="24"/>
        </w:rPr>
        <w:t>月</w:t>
      </w:r>
      <w:r>
        <w:rPr>
          <w:rFonts w:hint="eastAsia" w:eastAsia="宋体"/>
          <w:b/>
          <w:sz w:val="24"/>
          <w:szCs w:val="24"/>
        </w:rPr>
        <w:t>15</w:t>
      </w:r>
      <w:r>
        <w:rPr>
          <w:rFonts w:eastAsia="宋体"/>
          <w:b/>
          <w:sz w:val="24"/>
          <w:szCs w:val="24"/>
        </w:rPr>
        <w:t>日</w:t>
      </w:r>
    </w:p>
    <w:p w14:paraId="37E45EA6">
      <w:pPr>
        <w:snapToGrid w:val="0"/>
        <w:spacing w:line="360" w:lineRule="auto"/>
        <w:ind w:firstLine="480" w:firstLineChars="200"/>
        <w:rPr>
          <w:rFonts w:eastAsia="宋体"/>
          <w:color w:val="auto"/>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E0647"/>
    <w:rsid w:val="00427A49"/>
    <w:rsid w:val="018E3335"/>
    <w:rsid w:val="03147E4E"/>
    <w:rsid w:val="04323D3B"/>
    <w:rsid w:val="04C335CE"/>
    <w:rsid w:val="05062F56"/>
    <w:rsid w:val="05F71172"/>
    <w:rsid w:val="064055CE"/>
    <w:rsid w:val="06A94C49"/>
    <w:rsid w:val="07036991"/>
    <w:rsid w:val="07115CA7"/>
    <w:rsid w:val="075F3828"/>
    <w:rsid w:val="07B52AC8"/>
    <w:rsid w:val="07DC6EB3"/>
    <w:rsid w:val="08545039"/>
    <w:rsid w:val="08EF1001"/>
    <w:rsid w:val="0A24323E"/>
    <w:rsid w:val="0A3A262E"/>
    <w:rsid w:val="0A8F37FE"/>
    <w:rsid w:val="0DAE365C"/>
    <w:rsid w:val="0E2410FC"/>
    <w:rsid w:val="0E8B113B"/>
    <w:rsid w:val="0EB51830"/>
    <w:rsid w:val="0EDB1760"/>
    <w:rsid w:val="102E0647"/>
    <w:rsid w:val="10BA5E3B"/>
    <w:rsid w:val="11A7392F"/>
    <w:rsid w:val="120A3E26"/>
    <w:rsid w:val="12280E57"/>
    <w:rsid w:val="1250459A"/>
    <w:rsid w:val="15DB02BA"/>
    <w:rsid w:val="180A74EF"/>
    <w:rsid w:val="184A62B6"/>
    <w:rsid w:val="18AB3604"/>
    <w:rsid w:val="1948000B"/>
    <w:rsid w:val="19DE7F6F"/>
    <w:rsid w:val="1B3874B6"/>
    <w:rsid w:val="1B410A4A"/>
    <w:rsid w:val="1BCB249C"/>
    <w:rsid w:val="1BD163B0"/>
    <w:rsid w:val="1C40427F"/>
    <w:rsid w:val="1DCA77EF"/>
    <w:rsid w:val="1FD104E2"/>
    <w:rsid w:val="20710A55"/>
    <w:rsid w:val="20815F45"/>
    <w:rsid w:val="20C50451"/>
    <w:rsid w:val="21380A48"/>
    <w:rsid w:val="21A346F6"/>
    <w:rsid w:val="21AC1386"/>
    <w:rsid w:val="224A3CBF"/>
    <w:rsid w:val="22BF2D26"/>
    <w:rsid w:val="23A05081"/>
    <w:rsid w:val="23A75F8B"/>
    <w:rsid w:val="23A9148E"/>
    <w:rsid w:val="23C77C2C"/>
    <w:rsid w:val="23C9745A"/>
    <w:rsid w:val="242A5160"/>
    <w:rsid w:val="263C7249"/>
    <w:rsid w:val="26B03985"/>
    <w:rsid w:val="2742617D"/>
    <w:rsid w:val="27A32433"/>
    <w:rsid w:val="28E842A1"/>
    <w:rsid w:val="2C0E7654"/>
    <w:rsid w:val="2C3C4CA0"/>
    <w:rsid w:val="2CFC72DD"/>
    <w:rsid w:val="2D7C3DA6"/>
    <w:rsid w:val="2D867A9A"/>
    <w:rsid w:val="2E0B0177"/>
    <w:rsid w:val="2EB04DDC"/>
    <w:rsid w:val="2FA417BA"/>
    <w:rsid w:val="2FCE0C0F"/>
    <w:rsid w:val="300F0E69"/>
    <w:rsid w:val="303B192D"/>
    <w:rsid w:val="30DA3DB5"/>
    <w:rsid w:val="32837922"/>
    <w:rsid w:val="32994C8F"/>
    <w:rsid w:val="33157C9F"/>
    <w:rsid w:val="33340711"/>
    <w:rsid w:val="33DB4886"/>
    <w:rsid w:val="33E964FB"/>
    <w:rsid w:val="36441083"/>
    <w:rsid w:val="37702140"/>
    <w:rsid w:val="3A7D3C52"/>
    <w:rsid w:val="3AB962FE"/>
    <w:rsid w:val="3AD9561B"/>
    <w:rsid w:val="3AEC58FD"/>
    <w:rsid w:val="3B602C65"/>
    <w:rsid w:val="3B63308C"/>
    <w:rsid w:val="3CA858F8"/>
    <w:rsid w:val="3EE5525A"/>
    <w:rsid w:val="3F0E48B9"/>
    <w:rsid w:val="3FC96047"/>
    <w:rsid w:val="404D5B03"/>
    <w:rsid w:val="41060039"/>
    <w:rsid w:val="439C027C"/>
    <w:rsid w:val="43A8196A"/>
    <w:rsid w:val="43BB03E1"/>
    <w:rsid w:val="43DC367F"/>
    <w:rsid w:val="43F4670C"/>
    <w:rsid w:val="44AA594B"/>
    <w:rsid w:val="44FE772F"/>
    <w:rsid w:val="454F1C67"/>
    <w:rsid w:val="455A248C"/>
    <w:rsid w:val="45737CCF"/>
    <w:rsid w:val="461818FA"/>
    <w:rsid w:val="46DE70D4"/>
    <w:rsid w:val="48211725"/>
    <w:rsid w:val="48BA7FEE"/>
    <w:rsid w:val="4A3D7A5A"/>
    <w:rsid w:val="4A8C77D9"/>
    <w:rsid w:val="4AAE72C3"/>
    <w:rsid w:val="4CA10C49"/>
    <w:rsid w:val="4CC43F81"/>
    <w:rsid w:val="4D786AEF"/>
    <w:rsid w:val="4D971D5B"/>
    <w:rsid w:val="4D992504"/>
    <w:rsid w:val="4E71567A"/>
    <w:rsid w:val="4ED970EC"/>
    <w:rsid w:val="4F7A53CC"/>
    <w:rsid w:val="50213603"/>
    <w:rsid w:val="509671E9"/>
    <w:rsid w:val="52A26220"/>
    <w:rsid w:val="533D566F"/>
    <w:rsid w:val="548D0313"/>
    <w:rsid w:val="54F1188E"/>
    <w:rsid w:val="55B46A72"/>
    <w:rsid w:val="55DB79EC"/>
    <w:rsid w:val="563D4FE3"/>
    <w:rsid w:val="56973113"/>
    <w:rsid w:val="57216398"/>
    <w:rsid w:val="5793305E"/>
    <w:rsid w:val="57FF3ADF"/>
    <w:rsid w:val="58346B2D"/>
    <w:rsid w:val="58835650"/>
    <w:rsid w:val="58D2295F"/>
    <w:rsid w:val="598C48FA"/>
    <w:rsid w:val="59BA3D3F"/>
    <w:rsid w:val="59F11E47"/>
    <w:rsid w:val="5AFB6602"/>
    <w:rsid w:val="5BB9114F"/>
    <w:rsid w:val="5C140AE1"/>
    <w:rsid w:val="5D67264C"/>
    <w:rsid w:val="5DA512A7"/>
    <w:rsid w:val="5E2142BE"/>
    <w:rsid w:val="5F620534"/>
    <w:rsid w:val="5F62370B"/>
    <w:rsid w:val="5F8735E3"/>
    <w:rsid w:val="60AA156C"/>
    <w:rsid w:val="62031A89"/>
    <w:rsid w:val="63107694"/>
    <w:rsid w:val="63DB0061"/>
    <w:rsid w:val="63FF4D94"/>
    <w:rsid w:val="642F7AEC"/>
    <w:rsid w:val="651A633D"/>
    <w:rsid w:val="653C6C9A"/>
    <w:rsid w:val="679137FE"/>
    <w:rsid w:val="6904416E"/>
    <w:rsid w:val="69DC0FD6"/>
    <w:rsid w:val="69DD6E91"/>
    <w:rsid w:val="69E32EC5"/>
    <w:rsid w:val="6A5655B6"/>
    <w:rsid w:val="6ACC4766"/>
    <w:rsid w:val="6B135C1A"/>
    <w:rsid w:val="6C4504B1"/>
    <w:rsid w:val="6C533FCF"/>
    <w:rsid w:val="6E375EBF"/>
    <w:rsid w:val="6EB11D62"/>
    <w:rsid w:val="6F234C00"/>
    <w:rsid w:val="6F690747"/>
    <w:rsid w:val="70DE7D88"/>
    <w:rsid w:val="70F91769"/>
    <w:rsid w:val="71263CC4"/>
    <w:rsid w:val="7357790D"/>
    <w:rsid w:val="737435E5"/>
    <w:rsid w:val="73A6484A"/>
    <w:rsid w:val="74F03568"/>
    <w:rsid w:val="75003802"/>
    <w:rsid w:val="750110F0"/>
    <w:rsid w:val="753179E2"/>
    <w:rsid w:val="763F0315"/>
    <w:rsid w:val="76A806BB"/>
    <w:rsid w:val="76E02D1F"/>
    <w:rsid w:val="76ED73FC"/>
    <w:rsid w:val="76F0487A"/>
    <w:rsid w:val="788778CC"/>
    <w:rsid w:val="78D4228A"/>
    <w:rsid w:val="78DB7356"/>
    <w:rsid w:val="798B16F8"/>
    <w:rsid w:val="79F223A1"/>
    <w:rsid w:val="7A9419C0"/>
    <w:rsid w:val="7B41410A"/>
    <w:rsid w:val="7B4E1362"/>
    <w:rsid w:val="7C2F2131"/>
    <w:rsid w:val="7C7C31D1"/>
    <w:rsid w:val="7D292166"/>
    <w:rsid w:val="7DAF6F5F"/>
    <w:rsid w:val="7E8B649F"/>
    <w:rsid w:val="7EE72085"/>
    <w:rsid w:val="7F573B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等线"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标准）"/>
    <w:basedOn w:val="1"/>
    <w:next w:val="1"/>
    <w:semiHidden/>
    <w:qFormat/>
    <w:uiPriority w:val="0"/>
    <w:pPr>
      <w:ind w:firstLine="525"/>
    </w:pPr>
    <w:rPr>
      <w:rFonts w:ascii="宋体" w:hAnsi="宋体"/>
    </w:rPr>
  </w:style>
  <w:style w:type="paragraph" w:styleId="3">
    <w:name w:val="annotation text"/>
    <w:basedOn w:val="1"/>
    <w:qFormat/>
    <w:uiPriority w:val="0"/>
    <w:pPr>
      <w:jc w:val="left"/>
    </w:pPr>
  </w:style>
  <w:style w:type="paragraph" w:styleId="6">
    <w:name w:val="No Spacing"/>
    <w:qFormat/>
    <w:uiPriority w:val="1"/>
    <w:rPr>
      <w:rFonts w:ascii="Calibri" w:hAnsi="Calibri" w:eastAsia="宋体" w:cs="Times New Roman"/>
      <w:sz w:val="22"/>
      <w:szCs w:val="22"/>
      <w:lang w:val="en-US" w:eastAsia="zh-CN" w:bidi="ar-SA"/>
    </w:rPr>
  </w:style>
  <w:style w:type="character" w:customStyle="1" w:styleId="7">
    <w:name w:val="font31"/>
    <w:basedOn w:val="5"/>
    <w:qFormat/>
    <w:uiPriority w:val="0"/>
    <w:rPr>
      <w:rFonts w:hint="default" w:ascii="Times New Roman" w:hAnsi="Times New Roman" w:cs="Times New Roman"/>
      <w:color w:val="FF0000"/>
      <w:sz w:val="24"/>
      <w:szCs w:val="24"/>
      <w:u w:val="none"/>
    </w:rPr>
  </w:style>
  <w:style w:type="character" w:customStyle="1" w:styleId="8">
    <w:name w:val="font01"/>
    <w:basedOn w:val="5"/>
    <w:qFormat/>
    <w:uiPriority w:val="0"/>
    <w:rPr>
      <w:rFonts w:hint="eastAsia" w:ascii="宋体" w:hAnsi="宋体" w:eastAsia="宋体" w:cs="宋体"/>
      <w:color w:val="FF0000"/>
      <w:sz w:val="24"/>
      <w:szCs w:val="24"/>
      <w:u w:val="none"/>
    </w:rPr>
  </w:style>
  <w:style w:type="character" w:customStyle="1" w:styleId="9">
    <w:name w:val="font41"/>
    <w:basedOn w:val="5"/>
    <w:qFormat/>
    <w:uiPriority w:val="0"/>
    <w:rPr>
      <w:rFonts w:hint="default" w:ascii="Times New Roman" w:hAnsi="Times New Roman" w:cs="Times New Roman"/>
      <w:color w:val="000000"/>
      <w:sz w:val="24"/>
      <w:szCs w:val="24"/>
      <w:u w:val="none"/>
    </w:rPr>
  </w:style>
  <w:style w:type="character" w:customStyle="1" w:styleId="10">
    <w:name w:val="font2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835</Words>
  <Characters>932</Characters>
  <Lines>0</Lines>
  <Paragraphs>0</Paragraphs>
  <TotalTime>2</TotalTime>
  <ScaleCrop>false</ScaleCrop>
  <LinksUpToDate>false</LinksUpToDate>
  <CharactersWithSpaces>934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2025-01-14T16:55:00Z</dcterms:created>
  <dc:creator>未定义</dc:creator>
  <cp:lastModifiedBy>海涛</cp:lastModifiedBy>
  <cp:lastPrinted>2025-07-10T02:05:00Z</cp:lastPrinted>
  <dcterms:modified xsi:type="dcterms:W3CDTF">2025-07-14T07:18:31Z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7798974A20D549EBB4595B8A3780DF32</vt:lpwstr>
  </property>
  <property fmtid="{D5CDD505-2E9C-101B-9397-08002B2CF9AE}" pid="4" name="KSOTemplateDocerSaveRecord">
    <vt:lpwstr>eyJoZGlkIjoiZWRkOGZjOWY1YzhhOWRkYTczNjQzNDkyYzhmNDA5ODEiLCJ1c2VySWQiOiIzNjg4OTEzODkifQ==</vt:lpwstr>
  </property>
</Properties>
</file>